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6"/>
        <w:tblBorders>
          <w:top w:val="none"/>
          <w:left w:val="none"/>
          <w:bottom w:val="none"/>
          <w:right w:val="none"/>
          <w:insideH w:val="none"/>
          <w:insideV w:val="none"/>
        </w:tblBorders>
      </w:tblPr>
      <w:tblGrid>
        <w:gridCol w:w="2000"/>
        <w:gridCol w:w="7306"/>
      </w:tblGrid>
      <w:tr>
        <w:tc>
          <w:tcPr>
            <w:tcW w:type="dxa" w:w="2000"/>
            <w:tcBorders>
              <w:top w:val="none"/>
              <w:left w:val="none"/>
              <w:bottom w:val="none"/>
              <w:right w:val="none"/>
            </w:tcBorders>
            <w:vAlign w:val="center"/>
          </w:tcPr>
          <w:p>
            <w:pPr>
              <w:jc w:val="left"/>
            </w:pPr>
            <w:r>
              <w:drawing>
                <wp:inline distT="0" distB="0" distL="0" distR="0">
                  <wp:extent cx="99060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90600" cy="1381125"/>
                          </a:xfrm>
                          <a:prstGeom prst="rect">
                            <a:avLst/>
                          </a:prstGeom>
                        </pic:spPr>
                      </pic:pic>
                    </a:graphicData>
                  </a:graphic>
                </wp:inline>
              </w:drawing>
            </w:r>
          </w:p>
        </w:tc>
        <w:tc>
          <w:tcPr>
            <w:tcW w:type="dxa" w:w="7306"/>
            <w:tcBorders>
              <w:top w:val="none"/>
              <w:left w:val="none"/>
              <w:bottom w:val="none"/>
              <w:right w:val="none"/>
            </w:tcBorders>
            <w:vAlign w:val="center"/>
          </w:tcPr>
          <w:p>
            <w:pPr>
              <w:spacing w:after="80"/>
              <w:jc w:val="center"/>
            </w:pPr>
            <w:r>
              <w:rPr>
                <w:b/>
                <w:bCs/>
                <w:color w:val="2E2E5B"/>
                <w:u w:val="single"/>
              </w:rPr>
              <w:t xml:space="preserve">BILAN DE FORMATION</w:t>
            </w:r>
          </w:p>
          <w:p>
            <w:pPr>
              <w:jc w:val="center"/>
            </w:pPr>
            <w:r>
              <w:rPr>
                <w:sz w:val="20"/>
                <w:szCs w:val="20"/>
              </w:rPr>
              <w:t xml:space="preserve">À rendre dans les 15 jours à </w:t>
            </w:r>
            <w:hyperlink w:history="1" r:id="rIdwxgzs9bczr10qhv4kx5xt">
              <w:r>
                <w:rPr>
                  <w:color w:val="1155CC"/>
                  <w:sz w:val="20"/>
                  <w:szCs w:val="20"/>
                  <w:u w:val="single"/>
                </w:rPr>
                <w:t xml:space="preserve">formationcontinue.mars@institut-saintcassien.com</w:t>
              </w:r>
            </w:hyperlink>
          </w:p>
        </w:tc>
      </w:tr>
    </w:tbl>
    <w:p>
      <w:pPr>
        <w:spacing w:after="40" w:before="220"/>
        <w:jc w:val="center"/>
      </w:pPr>
      <w:r>
        <w:rPr>
          <w:b/>
          <w:bCs/>
        </w:rPr>
        <w:t xml:space="preserve">Formation : </w:t>
      </w:r>
      <w:r>
        <w:rPr>
          <w:b/>
          <w:bCs/>
          <w:i/>
          <w:iCs/>
        </w:rPr>
        <w:t xml:space="preserve">INTELLIGENCE ARTIFICIELLE – MODULE 6</w:t>
      </w:r>
    </w:p>
    <w:p>
      <w:pPr>
        <w:spacing w:after="40"/>
        <w:jc w:val="center"/>
      </w:pPr>
      <w:r>
        <w:rPr>
          <w:b/>
          <w:bCs/>
        </w:rPr>
        <w:t xml:space="preserve">Formateur(s) : </w:t>
      </w:r>
      <w:r>
        <w:rPr>
          <w:b/>
          <w:bCs/>
        </w:rPr>
        <w:t xml:space="preserve">OLIVIER NALLIS</w:t>
      </w:r>
    </w:p>
    <w:p>
      <w:pPr>
        <w:spacing w:after="40"/>
        <w:jc w:val="center"/>
      </w:pPr>
      <w:r>
        <w:rPr>
          <w:b/>
          <w:bCs/>
        </w:rPr>
        <w:t xml:space="preserve">Lieu : </w:t>
      </w:r>
      <w:r>
        <w:rPr>
          <w:b/>
          <w:bCs/>
        </w:rPr>
        <w:t xml:space="preserve">LYCÉE LES FAUVETTES CANNES</w:t>
      </w:r>
    </w:p>
    <w:p>
      <w:pPr>
        <w:spacing w:after="200"/>
        <w:jc w:val="center"/>
      </w:pPr>
      <w:r>
        <w:rPr>
          <w:b/>
          <w:bCs/>
        </w:rPr>
        <w:t xml:space="preserve">Dates : </w:t>
      </w:r>
      <w:r>
        <w:rPr>
          <w:b/>
          <w:bCs/>
        </w:rPr>
        <w:t xml:space="preserve">01/09/2026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Nombre de stagiaires présents le matin</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70</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Nombre de réponses au questionnaire d'entrée (diagnostic)</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70</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Nombre de réponses au questionnaire de sortie</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50</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Ratio réponses sortie / présents le matin</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71 %</w:t>
            </w:r>
          </w:p>
        </w:tc>
      </w:tr>
    </w:tbl>
    <w:p>
      <w:pPr>
        <w:spacing w:after="200" w:before="100"/>
      </w:pPr>
      <w:r>
        <w:rPr>
          <w:i/>
          <w:iCs/>
          <w:sz w:val="20"/>
          <w:szCs w:val="20"/>
        </w:rPr>
        <w:t xml:space="preserve">Note sur les effectifs : </w:t>
      </w:r>
      <w:r>
        <w:rPr>
          <w:i/>
          <w:iCs/>
          <w:sz w:val="20"/>
          <w:szCs w:val="20"/>
        </w:rPr>
        <w:t xml:space="preserve">70 enseignants étaient présents le matin, mais l'effectif s'est réduit au fil de la journée. Malgré une relance du proviseur, 20 d'entre eux n'ont pas renseigné le questionnaire de sortie, pourtant obligatoire (soit 71 % de retour). Cette érosion, cohérente avec les difficultés matérielles détaillées ci-dessous, doit être lue comme un indicateur de mobilisation à part entière, au même titre que les résultats chiffrés.</w:t>
      </w:r>
    </w:p>
    <w:p>
      <w:pPr>
        <w:pStyle w:val="Heading1"/>
      </w:pPr>
      <w:r>
        <w:t xml:space="preserve">1. Bilan de l'évaluation diagnostique</w:t>
      </w:r>
    </w:p>
    <w:p>
      <w:pPr>
        <w:spacing w:after="100" w:before="100"/>
      </w:pPr>
      <w:r>
        <w:rPr>
          <w:b/>
          <w:bCs/>
          <w:color w:val="9B3A2E"/>
        </w:rPr>
        <w:t xml:space="preserve">➔  </w:t>
      </w:r>
      <w:r>
        <w:rPr>
          <w:b/>
          <w:bCs/>
        </w:rPr>
        <w:t xml:space="preserve">Méthode de recueil choisie : </w:t>
      </w:r>
      <w:r>
        <w:t xml:space="preserve">questionnaire en ligne (Google Forms), renseigné avant la formation. Les stagiaires y auto-évaluaient leur confiance de 1 à 5 sur les quatre compétences visées (CC6, CC9, CC3, CC13), déclaraient leur niveau d'usage de l'IA, listaient les outils déjà connus, et exprimaient leurs attentes et sujets à aborder.</w:t>
      </w:r>
    </w:p>
    <w:p>
      <w:pPr>
        <w:spacing w:after="160" w:line="276"/>
        <w:jc w:val="both"/>
      </w:pPr>
      <w:r>
        <w:rPr>
          <w:b/>
          <w:bCs/>
        </w:rPr>
        <w:t xml:space="preserve">Votre bilan : </w:t>
      </w:r>
      <w:r>
        <w:t xml:space="preserve">70 réponses ont été recueillies, pour un public particulièrement large et hétérogène : enseignants de toutes disciplines (mathématiques, lettres, langues, économie-gestion, STMS, EPS, biotechnologies…), personnels de vie scolaire (AESH, éducateurs, surveillants) et documentalistes. Cette hétérogénéité, plusieurs fois relevée par les participants eux-mêmes (« performance d'intéresser un public aussi hétéroclite »), constitue un paramètre important pour la lecture de ce bilan.</w:t>
      </w:r>
    </w:p>
    <w:p>
      <w:pPr>
        <w:spacing w:after="160" w:line="276"/>
        <w:jc w:val="both"/>
      </w:pPr>
      <w:r>
        <w:t xml:space="preserve">Sur le plan des usages, le groupe se répartissait ainsi : 51 % d'utilisateurs débutants ou occasionnels, 41 % d'utilisateurs intermédiaires réguliers, 6 % n'ayant jamais utilisé l'IA, et 1 % de niveau avancé. Les outils les plus cités étaient ChatGPT, Gemini, Claude et Canva. Les attentes exprimées étaient concrètes et convergentes : gagner du temps sur la préparation des cours, découvrir de nouveaux outils, apprendre à mieux formuler des prompts, et surtout mieux accompagner les élèves dans leurs usages de l'IA (détection de la triche, esprit critique, encadrement). Plusieurs sujets précis avaient été demandés en amont : la correction de copies assistée, la réglementation et l'éthique, l'existence d'IA « françaises », ou encore l'impact écologique de l'IA.</w:t>
      </w:r>
    </w:p>
    <w:p>
      <w:pPr>
        <w:spacing w:after="160" w:line="276"/>
        <w:jc w:val="both"/>
      </w:pPr>
      <w:r>
        <w:t xml:space="preserve">La confiance de départ était modeste et homogène entre les quatre compétences (moyenne générale de 2,75 / 5), avec un point plus bas sur la culture numérique proprement dite (CC9, 2,43 / 5) : logique pour un groupe majoritairement débutant ou occasionnel, pour qui l'IA restait encore un outil mal maîtrisé plus qu'un frein psychologique de principe.</w:t>
      </w:r>
    </w:p>
    <w:p>
      <w:pPr>
        <w:pStyle w:val="Heading1"/>
      </w:pPr>
      <w:r>
        <w:t xml:space="preserve">2. Bilan de la satisfaction des stagiaires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left"/>
            </w:pPr>
            <w:r>
              <w:rPr>
                <w:b/>
                <w:bCs/>
                <w:color w:val="FFFFFF"/>
              </w:rPr>
              <w:t xml:space="preserve">Formation satisfaisante / insatisfaisante</w:t>
            </w:r>
          </w:p>
        </w:tc>
        <w:tc>
          <w:tcPr>
            <w:tcW w:type="dxa" w:w="30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Formation satisfaisante</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90 %</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Formation insatisfaisante</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10 %</w:t>
            </w:r>
          </w:p>
        </w:tc>
      </w:tr>
    </w:tbl>
    <w:p>
      <w:pPr>
        <w:spacing w:after="160"/>
      </w:pPr>
      <w:r>
        <w:t xml:space="preserve"/>
      </w:r>
    </w:p>
    <w:p>
      <w:pPr>
        <w:spacing w:after="100" w:before="100"/>
      </w:pPr>
      <w:r>
        <w:rPr>
          <w:b/>
          <w:bCs/>
          <w:color w:val="9B3A2E"/>
        </w:rPr>
        <w:t xml:space="preserve">➔  </w:t>
      </w:r>
      <w:r>
        <w:rPr>
          <w:b/>
          <w:bCs/>
        </w:rPr>
        <w:t xml:space="preserve">Votre bilan : </w:t>
      </w:r>
      <w:r>
        <w:t xml:space="preserve">sur 50 répondants à la sortie, 90 % jugent la formation satisfaisante, un score élevé compte tenu de la taille et de l'hétérogénéité du groupe. Les 10 % d'insatisfaits (5 personnes) recoupent presque systématiquement les critiques logistiques détaillées ci-dessous plutôt qu'une remise en cause du contenu : plusieurs commentaires saluent explicitement l'animation (« très bon formateur », « merci pour vos supports et votre patience ») tout en pointant les conditions matérielles.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left"/>
            </w:pPr>
            <w:r>
              <w:rPr>
                <w:b/>
                <w:bCs/>
                <w:color w:val="FFFFFF"/>
              </w:rPr>
              <w:t xml:space="preserve">Durée du stage</w:t>
            </w:r>
          </w:p>
        </w:tc>
        <w:tc>
          <w:tcPr>
            <w:tcW w:type="dxa" w:w="30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Durée adaptée</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58 %</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Durée trop longue</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26 %</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Durée trop courte</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16 %</w:t>
            </w:r>
          </w:p>
        </w:tc>
      </w:tr>
    </w:tbl>
    <w:p>
      <w:pPr>
        <w:spacing w:after="160"/>
      </w:pPr>
      <w:r>
        <w:t xml:space="preserve"/>
      </w:r>
    </w:p>
    <w:p>
      <w:pPr>
        <w:spacing w:after="100" w:before="100"/>
      </w:pPr>
      <w:r>
        <w:rPr>
          <w:b/>
          <w:bCs/>
          <w:color w:val="9B3A2E"/>
        </w:rPr>
        <w:t xml:space="preserve">➔  </w:t>
      </w:r>
      <w:r>
        <w:rPr>
          <w:b/>
          <w:bCs/>
        </w:rPr>
        <w:t xml:space="preserve">Votre bilan : </w:t>
      </w:r>
      <w:r>
        <w:t xml:space="preserve">une majorité (58 %) juge la durée adaptée, mais 42 % expriment un avis contraire dans les deux sens : 26 % la trouvent trop longue, 16 % trop courte. Ce paradoxe apparent a une explication unique dans les commentaires libres : c'est moins la durée en elle-même qui est en cause que son usage. Ceux qui la jugent trop longue pointent un format trop descendant (« beaucoup trop de démonstration, pas assez de pratique ») ; ceux qui la jugent trop courte réclament au contraire davantage de temps, mais pour la pratique (« plus de temps pour s'exercer avec un formateur »). Le facteur déterminant n'est donc pas le nombre d'heures, mais la part de mise en pratique.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left"/>
            </w:pPr>
            <w:r>
              <w:rPr>
                <w:b/>
                <w:bCs/>
                <w:color w:val="FFFFFF"/>
              </w:rPr>
              <w:t xml:space="preserve">Conditions matérielles du stage</w:t>
            </w:r>
          </w:p>
        </w:tc>
        <w:tc>
          <w:tcPr>
            <w:tcW w:type="dxa" w:w="30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Conditions satisfaisantes</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70 %</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Conditions insatisfaisantes</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30 %</w:t>
            </w:r>
          </w:p>
        </w:tc>
      </w:tr>
    </w:tbl>
    <w:p>
      <w:pPr>
        <w:spacing w:after="160"/>
      </w:pPr>
      <w:r>
        <w:t xml:space="preserve"/>
      </w:r>
    </w:p>
    <w:p>
      <w:pPr>
        <w:spacing w:after="100" w:before="100"/>
      </w:pPr>
      <w:r>
        <w:rPr>
          <w:b/>
          <w:bCs/>
          <w:color w:val="9B3A2E"/>
        </w:rPr>
        <w:t xml:space="preserve">➔  </w:t>
      </w:r>
      <w:r>
        <w:rPr>
          <w:b/>
          <w:bCs/>
        </w:rPr>
        <w:t xml:space="preserve">Votre bilan : </w:t>
      </w:r>
      <w:r>
        <w:t xml:space="preserve">c'est le point noir de cette session : 30 % des répondants (15 personnes) jugent les conditions matérielles insatisfaisantes, et les commentaires libres convergent très fortement sur les mêmes causes : un effectif trop important pour la salle (« difficile de faire un TD avec 60 enseignants ! »), un niveau sonore élevé (« trop bruyant », cité à de très nombreuses reprises), un microphone défaillant (« micros HS », « micro peu efficace »), l'absence de climatisation, et un nombre de postes informatiques insuffisant pour les ateliers pratiques. Un seul formateur pour un groupe aussi nombreux et hétérogène a par ailleurs été relevé comme un facteur limitant la possibilité d'un accompagnement individualisé. Point le plus concret : la salle informatique de l'établissement, indispensable pour le dernier atelier pratique de la journée, ne pouvait pas accueillir la totalité du groupe. Cette contrainte a mécaniquement limité la pratique sur la séquence la plus attendue par les stagiaires, et elle recoupe directement la baisse d'effectif constatée en fin de journée.</w:t>
      </w:r>
    </w:p>
    <w:p>
      <w:pPr>
        <w:pStyle w:val="Heading1"/>
      </w:pPr>
      <w:r>
        <w:t xml:space="preserve">3. Bilan « à chaud »</w:t>
      </w:r>
    </w:p>
    <w:p>
      <w:pPr>
        <w:pStyle w:val="Heading2"/>
      </w:pPr>
      <w:r>
        <w:t xml:space="preserve">Résultats des auto-évaluations au regard de la mise en application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left"/>
            </w:pPr>
            <w:r>
              <w:rPr>
                <w:b/>
                <w:bCs/>
                <w:color w:val="FFFFFF"/>
              </w:rPr>
              <w:t xml:space="preserve">Mise en application des acquis</w:t>
            </w:r>
          </w:p>
        </w:tc>
        <w:tc>
          <w:tcPr>
            <w:tcW w:type="dxa" w:w="30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Envisageable</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62 %</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Envisageable avec un accompagnement</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30 %</w:t>
            </w:r>
          </w:p>
        </w:tc>
      </w:tr>
      <w:tr>
        <w:tc>
          <w:tcPr>
            <w:tcW w:type="dxa" w:w="63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Peu envisageable</w:t>
            </w:r>
          </w:p>
        </w:tc>
        <w:tc>
          <w:tcPr>
            <w:tcW w:type="dxa" w:w="30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8 %</w:t>
            </w:r>
          </w:p>
        </w:tc>
      </w:tr>
      <w:tr>
        <w:tc>
          <w:tcPr>
            <w:tcW w:type="dxa" w:w="63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Pas envisageable</w:t>
            </w:r>
          </w:p>
        </w:tc>
        <w:tc>
          <w:tcPr>
            <w:tcW w:type="dxa" w:w="30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0 %</w:t>
            </w:r>
          </w:p>
        </w:tc>
      </w:tr>
    </w:tbl>
    <w:p>
      <w:pPr>
        <w:spacing w:after="160"/>
      </w:pPr>
      <w:r>
        <w:t xml:space="preserve"/>
      </w:r>
    </w:p>
    <w:p>
      <w:pPr>
        <w:spacing w:after="100" w:before="100"/>
      </w:pPr>
      <w:r>
        <w:rPr>
          <w:b/>
          <w:bCs/>
          <w:color w:val="9B3A2E"/>
        </w:rPr>
        <w:t xml:space="preserve">➔  </w:t>
      </w:r>
      <w:r>
        <w:rPr>
          <w:b/>
          <w:bCs/>
        </w:rPr>
        <w:t xml:space="preserve">Votre bilan : </w:t>
      </w:r>
      <w:r>
        <w:t xml:space="preserve">le signal est très positif : 92 % des répondants jugent la mise en application envisageable, seule ou avec un accompagnement, et aucun ne l'exclut totalement. Le tiers qui demande un accompagnement (30 %) est cohérent avec le déficit de pratique relevé plus haut : le contenu a été assimilé sur le plan conceptuel, mais le passage à l'acte gagnerait à être sécurisé par un suivi.</w:t>
      </w:r>
    </w:p>
    <w:p>
      <w:pPr>
        <w:pStyle w:val="Heading2"/>
      </w:pPr>
      <w:r>
        <w:t xml:space="preserve">Mesure des acquis constatés (reprise de l'évaluation diagnostique)</w:t>
      </w:r>
    </w:p>
    <w:p>
      <w:pPr>
        <w:spacing w:after="160" w:line="276"/>
        <w:jc w:val="both"/>
      </w:pPr>
      <w:r>
        <w:t xml:space="preserve">La comparaison des grilles de confiance avant / après (sur les répondants aux deux questionnaires, cohortes non appariées, 70 réponses en entrée contre 50 en sortie) fait apparaître une progression réelle et homogène sur les quatre compétences visées : la moyenne globale passe de 2,75 à 3,19 sur 5 (+0,44 point, soit environ +16 %).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1500"/>
        <w:gridCol w:w="1500"/>
        <w:gridCol w:w="1800"/>
      </w:tblGrid>
      <w:tr>
        <w:trPr>
          <w:tblHeader/>
        </w:trPr>
        <w:tc>
          <w:tcPr>
            <w:tcW w:type="dxa" w:w="456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left"/>
            </w:pPr>
            <w:r>
              <w:rPr>
                <w:b/>
                <w:bCs/>
                <w:color w:val="FFFFFF"/>
              </w:rPr>
              <w:t xml:space="preserve">Compétence visée</w:t>
            </w:r>
          </w:p>
        </w:tc>
        <w:tc>
          <w:tcPr>
            <w:tcW w:type="dxa" w:w="15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Avant /5</w:t>
            </w:r>
          </w:p>
        </w:tc>
        <w:tc>
          <w:tcPr>
            <w:tcW w:type="dxa" w:w="15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Après /5</w:t>
            </w:r>
          </w:p>
        </w:tc>
        <w:tc>
          <w:tcPr>
            <w:tcW w:type="dxa" w:w="1800"/>
            <w:tcBorders>
              <w:top w:val="single" w:color="BBBBBB" w:sz="1"/>
              <w:left w:val="single" w:color="BBBBBB" w:sz="1"/>
              <w:bottom w:val="single" w:color="BBBBBB" w:sz="1"/>
              <w:right w:val="single" w:color="BBBBBB" w:sz="1"/>
            </w:tcBorders>
            <w:shd w:fill="2E2E5B" w:val="clear"/>
            <w:tcMar>
              <w:top w:type="dxa" w:w="90"/>
              <w:left w:type="dxa" w:w="130"/>
              <w:bottom w:type="dxa" w:w="90"/>
              <w:right w:type="dxa" w:w="130"/>
            </w:tcMar>
            <w:vAlign w:val="center"/>
          </w:tcPr>
          <w:p>
            <w:pPr>
              <w:jc w:val="center"/>
            </w:pPr>
            <w:r>
              <w:rPr>
                <w:b/>
                <w:bCs/>
                <w:color w:val="FFFFFF"/>
              </w:rPr>
              <w:t xml:space="preserve">Progression</w:t>
            </w:r>
          </w:p>
        </w:tc>
      </w:tr>
      <w:tr>
        <w:tc>
          <w:tcPr>
            <w:tcW w:type="dxa" w:w="45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CC6 — Agir en éducateur responsable selon des principes éthiques</w:t>
            </w:r>
          </w:p>
        </w:tc>
        <w:tc>
          <w:tcPr>
            <w:tcW w:type="dxa" w:w="15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val="false"/>
                <w:bCs w:val="false"/>
              </w:rPr>
              <w:t xml:space="preserve">2,84</w:t>
            </w:r>
          </w:p>
        </w:tc>
        <w:tc>
          <w:tcPr>
            <w:tcW w:type="dxa" w:w="15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3,30</w:t>
            </w:r>
          </w:p>
        </w:tc>
        <w:tc>
          <w:tcPr>
            <w:tcW w:type="dxa" w:w="18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+0,46</w:t>
            </w:r>
          </w:p>
        </w:tc>
      </w:tr>
      <w:tr>
        <w:tc>
          <w:tcPr>
            <w:tcW w:type="dxa" w:w="45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CC9 — Intégrer les éléments de la culture numérique nécessaires à l'exercice du métier</w:t>
            </w:r>
          </w:p>
        </w:tc>
        <w:tc>
          <w:tcPr>
            <w:tcW w:type="dxa" w:w="15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val="false"/>
                <w:bCs w:val="false"/>
              </w:rPr>
              <w:t xml:space="preserve">2,43</w:t>
            </w:r>
          </w:p>
        </w:tc>
        <w:tc>
          <w:tcPr>
            <w:tcW w:type="dxa" w:w="15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3,04</w:t>
            </w:r>
          </w:p>
        </w:tc>
        <w:tc>
          <w:tcPr>
            <w:tcW w:type="dxa" w:w="18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+0,61</w:t>
            </w:r>
          </w:p>
        </w:tc>
      </w:tr>
      <w:tr>
        <w:tc>
          <w:tcPr>
            <w:tcW w:type="dxa" w:w="456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left"/>
            </w:pPr>
            <w:r>
              <w:rPr>
                <w:b w:val="false"/>
                <w:bCs w:val="false"/>
              </w:rPr>
              <w:t xml:space="preserve">CC3 — Connaître les élèves et les processus d'apprentissage</w:t>
            </w:r>
          </w:p>
        </w:tc>
        <w:tc>
          <w:tcPr>
            <w:tcW w:type="dxa" w:w="15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val="false"/>
                <w:bCs w:val="false"/>
              </w:rPr>
              <w:t xml:space="preserve">2,89</w:t>
            </w:r>
          </w:p>
        </w:tc>
        <w:tc>
          <w:tcPr>
            <w:tcW w:type="dxa" w:w="15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3,18</w:t>
            </w:r>
          </w:p>
        </w:tc>
        <w:tc>
          <w:tcPr>
            <w:tcW w:type="dxa" w:w="1800"/>
            <w:tcBorders>
              <w:top w:val="single" w:color="BBBBBB" w:sz="1"/>
              <w:left w:val="single" w:color="BBBBBB" w:sz="1"/>
              <w:bottom w:val="single" w:color="BBBBBB" w:sz="1"/>
              <w:right w:val="single" w:color="BBBBBB" w:sz="1"/>
            </w:tcBorders>
            <w:tcMar>
              <w:top w:type="dxa" w:w="90"/>
              <w:left w:type="dxa" w:w="130"/>
              <w:bottom w:type="dxa" w:w="90"/>
              <w:right w:type="dxa" w:w="130"/>
            </w:tcMar>
            <w:vAlign w:val="center"/>
          </w:tcPr>
          <w:p>
            <w:pPr>
              <w:jc w:val="center"/>
            </w:pPr>
            <w:r>
              <w:rPr>
                <w:b/>
                <w:bCs/>
              </w:rPr>
              <w:t xml:space="preserve">+0,29</w:t>
            </w:r>
          </w:p>
        </w:tc>
      </w:tr>
      <w:tr>
        <w:tc>
          <w:tcPr>
            <w:tcW w:type="dxa" w:w="456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left"/>
            </w:pPr>
            <w:r>
              <w:rPr>
                <w:b w:val="false"/>
                <w:bCs w:val="false"/>
              </w:rPr>
              <w:t xml:space="preserve">CC13 — Organiser et assurer un mode de fonctionnement du groupe favorisant l'apprentissage et la socialisation</w:t>
            </w:r>
          </w:p>
        </w:tc>
        <w:tc>
          <w:tcPr>
            <w:tcW w:type="dxa" w:w="15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val="false"/>
                <w:bCs w:val="false"/>
              </w:rPr>
              <w:t xml:space="preserve">2,84</w:t>
            </w:r>
          </w:p>
        </w:tc>
        <w:tc>
          <w:tcPr>
            <w:tcW w:type="dxa" w:w="15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3,24</w:t>
            </w:r>
          </w:p>
        </w:tc>
        <w:tc>
          <w:tcPr>
            <w:tcW w:type="dxa" w:w="1800"/>
            <w:tcBorders>
              <w:top w:val="single" w:color="BBBBBB" w:sz="1"/>
              <w:left w:val="single" w:color="BBBBBB" w:sz="1"/>
              <w:bottom w:val="single" w:color="BBBBBB" w:sz="1"/>
              <w:right w:val="single" w:color="BBBBBB" w:sz="1"/>
            </w:tcBorders>
            <w:shd w:fill="F4F2EE" w:val="clear"/>
            <w:tcMar>
              <w:top w:type="dxa" w:w="90"/>
              <w:left w:type="dxa" w:w="130"/>
              <w:bottom w:type="dxa" w:w="90"/>
              <w:right w:type="dxa" w:w="130"/>
            </w:tcMar>
            <w:vAlign w:val="center"/>
          </w:tcPr>
          <w:p>
            <w:pPr>
              <w:jc w:val="center"/>
            </w:pPr>
            <w:r>
              <w:rPr>
                <w:b/>
                <w:bCs/>
              </w:rPr>
              <w:t xml:space="preserve">+0,40</w:t>
            </w:r>
          </w:p>
        </w:tc>
      </w:tr>
      <w:tr>
        <w:tc>
          <w:tcPr>
            <w:tcW w:type="dxa" w:w="4560"/>
            <w:tcBorders>
              <w:top w:val="single" w:color="BBBBBB" w:sz="1"/>
              <w:left w:val="single" w:color="BBBBBB" w:sz="1"/>
              <w:bottom w:val="single" w:color="BBBBBB" w:sz="1"/>
              <w:right w:val="single" w:color="BBBBBB" w:sz="1"/>
            </w:tcBorders>
            <w:shd w:fill="EAE6DF" w:val="clear"/>
            <w:tcMar>
              <w:top w:type="dxa" w:w="90"/>
              <w:left w:type="dxa" w:w="130"/>
              <w:bottom w:type="dxa" w:w="90"/>
              <w:right w:type="dxa" w:w="130"/>
            </w:tcMar>
            <w:vAlign w:val="center"/>
          </w:tcPr>
          <w:p>
            <w:pPr>
              <w:jc w:val="left"/>
            </w:pPr>
            <w:r>
              <w:rPr>
                <w:b/>
                <w:bCs/>
              </w:rPr>
              <w:t xml:space="preserve">Moyenne globale</w:t>
            </w:r>
          </w:p>
        </w:tc>
        <w:tc>
          <w:tcPr>
            <w:tcW w:type="dxa" w:w="1500"/>
            <w:tcBorders>
              <w:top w:val="single" w:color="BBBBBB" w:sz="1"/>
              <w:left w:val="single" w:color="BBBBBB" w:sz="1"/>
              <w:bottom w:val="single" w:color="BBBBBB" w:sz="1"/>
              <w:right w:val="single" w:color="BBBBBB" w:sz="1"/>
            </w:tcBorders>
            <w:shd w:fill="EAE6DF" w:val="clear"/>
            <w:tcMar>
              <w:top w:type="dxa" w:w="90"/>
              <w:left w:type="dxa" w:w="130"/>
              <w:bottom w:type="dxa" w:w="90"/>
              <w:right w:type="dxa" w:w="130"/>
            </w:tcMar>
            <w:vAlign w:val="center"/>
          </w:tcPr>
          <w:p>
            <w:pPr>
              <w:jc w:val="center"/>
            </w:pPr>
            <w:r>
              <w:rPr>
                <w:b/>
                <w:bCs/>
              </w:rPr>
              <w:t xml:space="preserve">2,75</w:t>
            </w:r>
          </w:p>
        </w:tc>
        <w:tc>
          <w:tcPr>
            <w:tcW w:type="dxa" w:w="1500"/>
            <w:tcBorders>
              <w:top w:val="single" w:color="BBBBBB" w:sz="1"/>
              <w:left w:val="single" w:color="BBBBBB" w:sz="1"/>
              <w:bottom w:val="single" w:color="BBBBBB" w:sz="1"/>
              <w:right w:val="single" w:color="BBBBBB" w:sz="1"/>
            </w:tcBorders>
            <w:shd w:fill="EAE6DF" w:val="clear"/>
            <w:tcMar>
              <w:top w:type="dxa" w:w="90"/>
              <w:left w:type="dxa" w:w="130"/>
              <w:bottom w:type="dxa" w:w="90"/>
              <w:right w:type="dxa" w:w="130"/>
            </w:tcMar>
            <w:vAlign w:val="center"/>
          </w:tcPr>
          <w:p>
            <w:pPr>
              <w:jc w:val="center"/>
            </w:pPr>
            <w:r>
              <w:rPr>
                <w:b/>
                <w:bCs/>
              </w:rPr>
              <w:t xml:space="preserve">3,19</w:t>
            </w:r>
          </w:p>
        </w:tc>
        <w:tc>
          <w:tcPr>
            <w:tcW w:type="dxa" w:w="1800"/>
            <w:tcBorders>
              <w:top w:val="single" w:color="BBBBBB" w:sz="1"/>
              <w:left w:val="single" w:color="BBBBBB" w:sz="1"/>
              <w:bottom w:val="single" w:color="BBBBBB" w:sz="1"/>
              <w:right w:val="single" w:color="BBBBBB" w:sz="1"/>
            </w:tcBorders>
            <w:shd w:fill="EAE6DF" w:val="clear"/>
            <w:tcMar>
              <w:top w:type="dxa" w:w="90"/>
              <w:left w:type="dxa" w:w="130"/>
              <w:bottom w:type="dxa" w:w="90"/>
              <w:right w:type="dxa" w:w="130"/>
            </w:tcMar>
            <w:vAlign w:val="center"/>
          </w:tcPr>
          <w:p>
            <w:pPr>
              <w:jc w:val="center"/>
            </w:pPr>
            <w:r>
              <w:rPr>
                <w:b/>
                <w:bCs/>
              </w:rPr>
              <w:t xml:space="preserve">+0,44</w:t>
            </w:r>
          </w:p>
        </w:tc>
      </w:tr>
    </w:tbl>
    <w:p>
      <w:pPr>
        <w:spacing w:after="160"/>
      </w:pPr>
      <w:r>
        <w:t xml:space="preserve"/>
      </w:r>
    </w:p>
    <w:p>
      <w:pPr>
        <w:spacing w:after="160" w:line="276"/>
        <w:jc w:val="both"/>
      </w:pPr>
      <w:r>
        <w:t xml:space="preserve">Le gain le plus net porte sur la culture numérique (CC9 : 2,43 → 3,04, +0,61), qui était aussi la compétence la plus faible à l'entrée : c'est précisément le cœur de cible de cette formation, et le résultat montre qu'elle a rempli son objectif premier. Les trois autres compétences, plus transversales (éthique, connaissance des élèves, animation de groupe), progressent de façon plus modérée mais réelle (+0,29 à +0,46), ce qui est cohérent : ces compétences se travaillent davantage dans la durée et par la pratique répétée que sur une seule journée.</w:t>
      </w:r>
    </w:p>
    <w:p>
      <w:pPr>
        <w:pStyle w:val="Heading2"/>
      </w:pPr>
      <w:r>
        <w:t xml:space="preserve">Analyse de l'écart et pistes d'action pour une reconduction ou une poursuite</w:t>
      </w:r>
    </w:p>
    <w:p>
      <w:pPr>
        <w:pStyle w:val="ListParagraph"/>
        <w:numPr>
          <w:ilvl w:val="0"/>
          <w:numId w:val="2"/>
        </w:numPr>
        <w:spacing w:after="110"/>
      </w:pPr>
      <w:r>
        <w:rPr>
          <w:b/>
          <w:bCs/>
        </w:rPr>
        <w:t xml:space="preserve">Un contenu et une animation qui fonctionnent : </w:t>
      </w:r>
      <w:r>
        <w:t xml:space="preserve">90 % de satisfaction globale et des progressions de confiance mesurables sur les quatre compétences, avec un gain particulièrement net sur la culture numérique, cœur de cible du module. Les retours qualitatifs saluent explicitement la qualité de l'animation et des supports.</w:t>
      </w:r>
    </w:p>
    <w:p>
      <w:pPr>
        <w:pStyle w:val="ListParagraph"/>
        <w:numPr>
          <w:ilvl w:val="0"/>
          <w:numId w:val="2"/>
        </w:numPr>
        <w:spacing w:after="110"/>
      </w:pPr>
      <w:r>
        <w:rPr>
          <w:b/>
          <w:bCs/>
        </w:rPr>
        <w:t xml:space="preserve">Un déficit de pratique, cause racine des réserves exprimées : </w:t>
      </w:r>
      <w:r>
        <w:t xml:space="preserve">le format plénière / démonstration, imposé par un effectif très nombreux (de l'ordre de 60 personnes) et un seul formateur, explique à la fois les avis contrastés sur la durée, les 30 % d'insatisfaction sur les conditions matérielles, et le tiers de participants demandant un accompagnement pour appliquer les acquis. Ce n'est pas un problème de contenu mais de format.</w:t>
      </w:r>
    </w:p>
    <w:p>
      <w:pPr>
        <w:pStyle w:val="ListParagraph"/>
        <w:numPr>
          <w:ilvl w:val="0"/>
          <w:numId w:val="2"/>
        </w:numPr>
        <w:spacing w:after="110"/>
      </w:pPr>
      <w:r>
        <w:rPr>
          <w:b/>
          <w:bCs/>
        </w:rPr>
        <w:t xml:space="preserve">Des conditions matérielles à sécuriser : </w:t>
      </w:r>
      <w:r>
        <w:t xml:space="preserve">salle adaptée à l'effectif, sonorisation fiable (le micro défaillant revient dans une part importante des commentaires), climatisation, et un nombre de postes informatiques suffisant pour permettre des ateliers pratiques réels plutôt que des démonstrations.</w:t>
      </w:r>
    </w:p>
    <w:p>
      <w:pPr>
        <w:pStyle w:val="ListParagraph"/>
        <w:numPr>
          <w:ilvl w:val="0"/>
          <w:numId w:val="2"/>
        </w:numPr>
        <w:spacing w:after="110"/>
      </w:pPr>
      <w:r>
        <w:rPr>
          <w:b/>
          <w:bCs/>
        </w:rPr>
        <w:t xml:space="preserve">Une demande de poursuite très largement exprimée : </w:t>
      </w:r>
      <w:r>
        <w:t xml:space="preserve">de nombreuses réponses libres appellent spontanément une suite (« formation complémentaire », « ateliers pratiques », « demi-journée d'entraînement avec le formateur », « abonnement établissement à une IA »). C'est un indicateur fort en faveur d'une reconduction.</w:t>
      </w:r>
    </w:p>
    <w:p>
      <w:pPr>
        <w:pStyle w:val="ListParagraph"/>
        <w:numPr>
          <w:ilvl w:val="0"/>
          <w:numId w:val="2"/>
        </w:numPr>
        <w:spacing w:after="110"/>
      </w:pPr>
      <w:r>
        <w:rPr>
          <w:b/>
          <w:bCs/>
        </w:rPr>
        <w:t xml:space="preserve">Une érosion de l'effectif en cours de journée : </w:t>
      </w:r>
      <w:r>
        <w:t xml:space="preserve">des 70 présents le matin, l'effectif a diminué au fil de la journée, et 20 enseignants n'ont pas renseigné le questionnaire de sortie malgré une relance du proviseur. Ce chiffre, à mettre en regard de la question de la salle informatique trop petite pour le dernier atelier, invite à distinguer ce qui relève du désengagement de ce qui relève de la logistique : la seconde est actionnable immédiatement pour la prochaine session.</w:t>
      </w:r>
    </w:p>
    <w:p>
      <w:pPr>
        <w:spacing w:after="160" w:line="276"/>
        <w:jc w:val="both"/>
      </w:pPr>
      <w:r>
        <w:rPr>
          <w:b/>
          <w:bCs/>
        </w:rPr>
        <w:t xml:space="preserve">Recommandation : </w:t>
      </w:r>
      <w:r>
        <w:t xml:space="preserve">la reconduction est pleinement justifiée au vu des progrès mesurés et de la demande explicite des stagiaires, mais gagnerait à être proposée sous un format différent pour lever le principal frein identifié : des groupes de taille restreinte (ou plusieurs formateurs / sessions parallèles), un temps de pratique nettement renforcé au détriment de la démonstration, un accès garanti à un poste informatique par participant, et une salle dimensionnée avec une sonorisation fiable. Une session de suivi courte, uniquement pratique, répondrait directement à la demande la plus fréquente du groupe.</w:t>
      </w:r>
    </w:p>
    <w:sectPr>
      <w:pgSz w:w="11906" w:h="16838" w:orient="portrait"/>
      <w:pgMar w:top="1300" w:right="1300" w:bottom="1300" w:left="1300" w:header="708" w:footer="708" w:gutter="0"/>
      <w:pgBorders w:offsetFrom="page">
        <w:top w:val="single" w:color="777777" w:sz="10" w:space="24"/>
        <w:left w:val="single" w:color="777777" w:sz="10" w:space="24"/>
        <w:bottom w:val="single" w:color="777777" w:sz="10" w:space="24"/>
        <w:right w:val="single" w:color="777777" w:sz="10"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9B3A2E" w:sz="6" w:space="4"/>
      </w:pBdr>
      <w:spacing w:after="160" w:before="320"/>
      <w:outlineLvl w:val="0"/>
    </w:pPr>
    <w:rPr>
      <w:rFonts w:ascii="Arial" w:cs="Arial" w:eastAsia="Arial" w:hAnsi="Arial"/>
      <w:b/>
      <w:bCs/>
      <w:color w:val="2E2E5B"/>
      <w:sz w:val="30"/>
      <w:szCs w:val="30"/>
    </w:rPr>
  </w:style>
  <w:style w:type="paragraph" w:styleId="Heading2">
    <w:name w:val="Heading 2"/>
    <w:basedOn w:val="Normal"/>
    <w:next w:val="Normal"/>
    <w:qFormat/>
    <w:pPr>
      <w:spacing w:after="120" w:before="220"/>
      <w:outlineLvl w:val="1"/>
    </w:pPr>
    <w:rPr>
      <w:rFonts w:ascii="Arial" w:cs="Arial" w:eastAsia="Arial" w:hAnsi="Arial"/>
      <w:b/>
      <w:bCs/>
      <w:color w:val="9B3A2E"/>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xgzs9bczr10qhv4kx5xt" Type="http://schemas.openxmlformats.org/officeDocument/2006/relationships/hyperlink" Target="mailto:formationcontinue.mars@institut-saintcassien.com" TargetMode="External"/><Relationship Id="rId7" Type="http://schemas.openxmlformats.org/officeDocument/2006/relationships/image" Target="media/798ec302eab688970fc6032c5e63fedeb426440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2026-09-05T15:14:41.856Z</dcterms:created>
  <dcterms:modified xsi:type="dcterms:W3CDTF">2026-09-05T15:14:41.857Z</dcterms:modified>
</cp:coreProperties>
</file>

<file path=docProps/custom.xml><?xml version="1.0" encoding="utf-8"?>
<Properties xmlns="http://schemas.openxmlformats.org/officeDocument/2006/custom-properties" xmlns:vt="http://schemas.openxmlformats.org/officeDocument/2006/docPropsVTypes"/>
</file>